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2" w:line="243" w:lineRule="exact"/>
        <w:ind w:left="128" w:right="13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ИНСТРУКЦИЯ</w:t>
      </w:r>
    </w:p>
    <w:p>
      <w:pPr>
        <w:pStyle w:val="4"/>
        <w:spacing w:line="243" w:lineRule="exact"/>
        <w:ind w:left="129" w:right="129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применению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минеральной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кормовой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pStyle w:val="4"/>
        <w:spacing w:before="1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ind w:left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Общие сведения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1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Минеральная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кормовая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смесь</w:t>
      </w:r>
      <w:r>
        <w:rPr>
          <w:rFonts w:hint="default"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минеральная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добавка</w:t>
      </w:r>
      <w:r>
        <w:rPr>
          <w:rFonts w:hint="default"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восстановления</w:t>
      </w:r>
      <w:r>
        <w:rPr>
          <w:rFonts w:hint="default" w:ascii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электролитного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баланса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телят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состояниях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обезвоживания,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смене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рациона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содержания.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Минеральная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кормовая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смесь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представляет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собой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многокомпонентную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содержащую</w:t>
      </w:r>
      <w:r>
        <w:rPr>
          <w:rFonts w:hint="default"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глюкозу,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порошок рожкового дерева, лактозу, </w:t>
      </w:r>
      <w:r>
        <w:rPr>
          <w:rFonts w:hint="default" w:ascii="Times New Roman" w:hAnsi="Times New Roman" w:cs="Times New Roman"/>
          <w:sz w:val="28"/>
          <w:szCs w:val="28"/>
        </w:rPr>
        <w:t>соли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натрия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калия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цинка</w:t>
      </w:r>
      <w:r>
        <w:rPr>
          <w:rFonts w:hint="default"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лиофилизированные</w:t>
      </w:r>
      <w:r>
        <w:rPr>
          <w:rFonts w:hint="default"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дрожжи, аминокислоты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(бетаин, глицин),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прежелатинизированный крахмал, </w:t>
      </w:r>
      <w:r>
        <w:rPr>
          <w:rFonts w:hint="default" w:ascii="Times New Roman" w:hAnsi="Times New Roman" w:cs="Times New Roman"/>
          <w:sz w:val="28"/>
          <w:szCs w:val="28"/>
        </w:rPr>
        <w:t>антислёживатель,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ароматизатор.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содержит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генно -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инженерно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модифицированных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продуктов.</w:t>
      </w:r>
    </w:p>
    <w:p>
      <w:pPr>
        <w:pStyle w:val="4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 вредных примесей не превышают предельно допустимых норм, действующих 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Федерации.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Минеральная кормовая смесь 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 xml:space="preserve">» представляет собой порошок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от</w:t>
      </w:r>
      <w:r>
        <w:rPr>
          <w:rFonts w:hint="default" w:ascii="Times New Roman" w:hAnsi="Times New Roman" w:cs="Times New Roman"/>
          <w:sz w:val="28"/>
          <w:szCs w:val="28"/>
        </w:rPr>
        <w:t xml:space="preserve"> серого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 коричневого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цвета,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специфическим запахом. Выпускаю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</w:rPr>
        <w:t xml:space="preserve"> смесь расфасованную по 100 г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1кг в фольгированных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упаковках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8 кг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пластиковых контейнерах.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Каждую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упаковку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маркируют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этикеткой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русском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языке,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указанием: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наименованием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организации - производителя, его адреса и товарного знака, названия, назначения и способа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применения добавки, её состава, сроков и условий хранения, даты изготовления, массы нетто,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номер партии и снабжают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инструкцией по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применению.</w:t>
      </w:r>
    </w:p>
    <w:p>
      <w:pPr>
        <w:pStyle w:val="4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Хранить</w:t>
      </w:r>
      <w:r>
        <w:rPr>
          <w:rFonts w:hint="default"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плотно</w:t>
      </w:r>
      <w:r>
        <w:rPr>
          <w:rFonts w:hint="default"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закрытой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таре</w:t>
      </w:r>
      <w:r>
        <w:rPr>
          <w:rFonts w:hint="default"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производителя,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проветриваемом,</w:t>
      </w:r>
      <w:r>
        <w:rPr>
          <w:rFonts w:hint="default"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сухом</w:t>
      </w:r>
      <w:r>
        <w:rPr>
          <w:rFonts w:hint="default"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помещении,</w:t>
      </w:r>
      <w:r>
        <w:rPr>
          <w:rFonts w:hint="default"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температуре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0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+25°C.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Защищать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прямых солнечных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лучей.</w:t>
      </w:r>
    </w:p>
    <w:p>
      <w:pPr>
        <w:pStyle w:val="4"/>
        <w:spacing w:line="243" w:lineRule="exact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Срок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хранения: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12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яцев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дня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изготовления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4"/>
        <w:spacing w:line="243" w:lineRule="exact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использовать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истечению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срока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хранения.</w:t>
      </w:r>
    </w:p>
    <w:p>
      <w:pPr>
        <w:pStyle w:val="4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tabs>
          <w:tab w:val="left" w:pos="317"/>
        </w:tabs>
        <w:spacing w:before="1" w:after="0" w:line="240" w:lineRule="auto"/>
        <w:ind w:left="0" w:leftChars="0" w:right="-469" w:rightChars="-213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Биологические свойства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1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Биологические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свойства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минеральной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кормовой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обусловлен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наличием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веществ (минералов, аминокислот,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растительных компонентов</w:t>
      </w:r>
      <w:r>
        <w:rPr>
          <w:rFonts w:hint="default" w:ascii="Times New Roman" w:hAnsi="Times New Roman" w:cs="Times New Roman"/>
          <w:sz w:val="28"/>
          <w:szCs w:val="28"/>
        </w:rPr>
        <w:t>), входящих в его состав. Применение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продукта обуславливает восстановление электролитного баланса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впитывание вредных веществ, нормализацию выводящей функции кишечника</w:t>
      </w:r>
      <w:r>
        <w:rPr>
          <w:rFonts w:hint="default" w:ascii="Times New Roman" w:hAnsi="Times New Roman" w:cs="Times New Roman"/>
          <w:sz w:val="28"/>
          <w:szCs w:val="28"/>
        </w:rPr>
        <w:t xml:space="preserve"> и получение дополнительной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энергии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предотвращения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обезвоживания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</w:p>
    <w:p>
      <w:pPr>
        <w:pStyle w:val="4"/>
        <w:spacing w:before="11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tabs>
          <w:tab w:val="left" w:pos="3468"/>
        </w:tabs>
        <w:spacing w:before="0" w:after="0" w:line="240" w:lineRule="auto"/>
        <w:ind w:left="0" w:leftChars="0" w:right="-469" w:rightChars="-213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Порядок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применения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применяют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восстановления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электролитного</w:t>
      </w:r>
      <w:r>
        <w:rPr>
          <w:rFonts w:hint="default" w:ascii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баланса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 телят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состояниях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обезвоживания, смене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питания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содержания.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2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Минеральную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кормовую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hint="default" w:ascii="Times New Roman" w:hAnsi="Times New Roman" w:cs="Times New Roman"/>
          <w:sz w:val="28"/>
          <w:szCs w:val="28"/>
        </w:rPr>
        <w:t>носят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предварительно</w:t>
      </w:r>
      <w:r>
        <w:rPr>
          <w:rFonts w:hint="default"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растворив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воде,</w:t>
      </w:r>
      <w:r>
        <w:rPr>
          <w:rFonts w:hint="default"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выпаивая</w:t>
      </w:r>
      <w:r>
        <w:rPr>
          <w:rFonts w:hint="default"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самостоятельно</w:t>
      </w:r>
      <w:r>
        <w:rPr>
          <w:rFonts w:hint="default"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или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дренчером</w:t>
      </w:r>
      <w:r>
        <w:rPr>
          <w:rFonts w:hint="default"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необходимости.</w:t>
      </w:r>
    </w:p>
    <w:p>
      <w:pPr>
        <w:pStyle w:val="4"/>
        <w:spacing w:before="62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ввода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составляет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100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порошка,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растворённого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литрах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тёплой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(35-40°С)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воды,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готовый раствор необходимо выпоить сразу после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приготовления,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2-</w:t>
      </w:r>
      <w:r>
        <w:rPr>
          <w:rFonts w:hint="default" w:ascii="Times New Roman" w:hAnsi="Times New Roman" w:cs="Times New Roman"/>
          <w:sz w:val="28"/>
          <w:szCs w:val="28"/>
        </w:rPr>
        <w:t>3 раза в день по 2 литра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готового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раствора до полного исчезновения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симптомов (максимум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7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дней).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применении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минеральной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кормой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смеси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рекомендуемых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количествах,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побочных явлений и осложнений не установлено. Необходимо обеспечить телёнку постоянный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доступ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воде!</w:t>
      </w:r>
    </w:p>
    <w:p>
      <w:pPr>
        <w:pStyle w:val="6"/>
        <w:numPr>
          <w:ilvl w:val="0"/>
          <w:numId w:val="2"/>
        </w:numPr>
        <w:tabs>
          <w:tab w:val="left" w:pos="317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Минеральная кормовая смесь 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 совместима со всеми лекарственными препаратами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другими кормовыми добавками.</w:t>
      </w:r>
    </w:p>
    <w:p>
      <w:pPr>
        <w:pStyle w:val="4"/>
        <w:spacing w:before="11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tabs>
          <w:tab w:val="left" w:pos="3178"/>
        </w:tabs>
        <w:spacing w:before="0" w:after="0" w:line="240" w:lineRule="auto"/>
        <w:ind w:left="0" w:leftChars="0" w:right="-469" w:rightChars="-213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Меры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личной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профилактики</w:t>
      </w:r>
    </w:p>
    <w:p>
      <w:pPr>
        <w:pStyle w:val="6"/>
        <w:numPr>
          <w:ilvl w:val="0"/>
          <w:numId w:val="2"/>
        </w:numPr>
        <w:tabs>
          <w:tab w:val="left" w:pos="418"/>
        </w:tabs>
        <w:spacing w:before="0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работе с минеральной кормовой смесью «Элдиар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Оптима</w:t>
      </w:r>
      <w:r>
        <w:rPr>
          <w:rFonts w:hint="default" w:ascii="Times New Roman" w:hAnsi="Times New Roman" w:cs="Times New Roman"/>
          <w:sz w:val="28"/>
          <w:szCs w:val="28"/>
        </w:rPr>
        <w:t>» следует соблюдать правила личной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гигиены и техники безопасности, принятые при работе с минерально кормовыми смесями: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использовать помещение с хорошей вентиляцией, применять защитную одежду, перчатки ПВХ,</w:t>
      </w:r>
      <w:r>
        <w:rPr>
          <w:rFonts w:hint="default" w:ascii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защитные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очки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индивидуальные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средства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защиты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дыхания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защитную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маску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или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респиратор.</w:t>
      </w:r>
    </w:p>
    <w:p>
      <w:pPr>
        <w:pStyle w:val="6"/>
        <w:numPr>
          <w:ilvl w:val="0"/>
          <w:numId w:val="2"/>
        </w:numPr>
        <w:tabs>
          <w:tab w:val="left" w:pos="464"/>
        </w:tabs>
        <w:spacing w:before="1" w:after="0" w:line="240" w:lineRule="auto"/>
        <w:ind w:left="-440" w:leftChars="-200" w:right="-469" w:rightChars="-213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Хранить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местах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недоступных для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детей.</w:t>
      </w:r>
    </w:p>
    <w:p>
      <w:pPr>
        <w:pStyle w:val="4"/>
        <w:ind w:left="-440" w:leftChars="-200" w:right="-469" w:rightChars="-213" w:firstLine="0" w:firstLine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spacing w:before="11"/>
        <w:ind w:left="-440" w:leftChars="-200" w:right="-469" w:rightChars="-213" w:firstLine="0" w:firstLine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-440" w:leftChars="-200" w:right="-469" w:rightChars="-213" w:firstLine="0" w:firstLineChars="0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Инструкция разработана ООО «ТК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Ярвет» г.Ярославль совместно с производителем ООО «</w:t>
      </w:r>
      <w:r>
        <w:rPr>
          <w:rFonts w:hint="default" w:ascii="Times New Roman" w:hAnsi="Times New Roman" w:eastAsia="Calibri" w:cs="Times New Roman"/>
          <w:sz w:val="28"/>
          <w:szCs w:val="28"/>
        </w:rPr>
        <w:t>НЕРОХИМ», 152150, Ярославская область, м. р-н. Ростовский, г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.п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. Ростов, г. Ростов, </w:t>
      </w:r>
      <w:r>
        <w:rPr>
          <w:rFonts w:hint="default" w:ascii="Times New Roman" w:hAnsi="Times New Roman" w:eastAsia="Calibri" w:cs="Times New Roman"/>
          <w:sz w:val="28"/>
          <w:szCs w:val="28"/>
        </w:rPr>
        <w:drawing>
          <wp:inline distT="0" distB="0" distL="114300" distR="114300">
            <wp:extent cx="13970" cy="36830"/>
            <wp:effectExtent l="0" t="0" r="1270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Calibri" w:cs="Times New Roman"/>
          <w:sz w:val="28"/>
          <w:szCs w:val="28"/>
        </w:rPr>
        <w:t>ул. Пролетарская, д.86.</w:t>
      </w:r>
      <w:r>
        <w:rPr>
          <w:rFonts w:hint="default" w:ascii="Times New Roman" w:hAnsi="Times New Roman" w:eastAsia="Calibri" w:cs="Times New Roman"/>
          <w:sz w:val="28"/>
          <w:szCs w:val="28"/>
        </w:rPr>
        <w:drawing>
          <wp:inline distT="0" distB="0" distL="114300" distR="114300">
            <wp:extent cx="4445" cy="4445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10" w:h="16840"/>
      <w:pgMar w:top="136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0" w:hanging="197"/>
        <w:jc w:val="left"/>
      </w:pPr>
      <w:rPr>
        <w:rFonts w:hint="default" w:ascii="Calibri" w:hAnsi="Calibri" w:eastAsia="Calibri" w:cs="Calibri"/>
        <w:spacing w:val="-1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62" w:hanging="1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05" w:hanging="1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647" w:hanging="1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490" w:hanging="1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333" w:hanging="1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175" w:hanging="1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018" w:hanging="1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860" w:hanging="197"/>
      </w:pPr>
      <w:rPr>
        <w:rFonts w:hint="default"/>
        <w:lang w:val="ru-RU" w:eastAsia="en-US" w:bidi="ar-SA"/>
      </w:rPr>
    </w:lvl>
  </w:abstractNum>
  <w:abstractNum w:abstractNumId="1">
    <w:nsid w:val="24F7C7DC"/>
    <w:multiLevelType w:val="singleLevel"/>
    <w:tmpl w:val="24F7C7DC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99A394A"/>
    <w:rsid w:val="1C397590"/>
    <w:rsid w:val="2B201812"/>
    <w:rsid w:val="534F3937"/>
    <w:rsid w:val="6FC34C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Calibri" w:hAnsi="Calibri" w:eastAsia="Calibri" w:cs="Calibri"/>
      <w:sz w:val="20"/>
      <w:szCs w:val="20"/>
      <w:lang w:val="ru-RU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20"/>
    </w:pPr>
    <w:rPr>
      <w:rFonts w:ascii="Calibri" w:hAnsi="Calibri" w:eastAsia="Calibri" w:cs="Calibri"/>
      <w:lang w:val="ru-RU" w:eastAsia="en-US" w:bidi="ar-SA"/>
    </w:rPr>
  </w:style>
  <w:style w:type="paragraph" w:customStyle="1" w:styleId="7">
    <w:name w:val="Table Paragraph"/>
    <w:basedOn w:val="1"/>
    <w:qFormat/>
    <w:uiPriority w:val="1"/>
    <w:pPr>
      <w:spacing w:line="224" w:lineRule="exact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2023-07-07T08:11:00Z</dcterms:created>
  <dc:creator>novikova</dc:creator>
  <cp:lastModifiedBy>Павел Барабанов</cp:lastModifiedBy>
  <dcterms:modified xsi:type="dcterms:W3CDTF">2023-07-07T09:46:09Z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2023-07-07T00:00:00Z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0E9A27928D844B45A4D5FF2528E8555E</vt:lpwstr>
  </property>
</Properties>
</file>